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2F2F2" w:themeColor="background1" w:themeShade="F2"/>
  <w:body>
    <w:sdt>
      <w:sdtPr>
        <w:id w:val="1969545428"/>
        <w:docPartObj>
          <w:docPartGallery w:val="Cover Pages"/>
          <w:docPartUnique/>
        </w:docPartObj>
      </w:sdtPr>
      <w:sdtEndPr>
        <w:rPr>
          <w:b/>
          <w:sz w:val="28"/>
          <w:szCs w:val="28"/>
          <w14:glow w14:rad="228600">
            <w14:schemeClr w14:val="accent4">
              <w14:alpha w14:val="60000"/>
              <w14:satMod w14:val="175000"/>
            </w14:schemeClr>
          </w14:glow>
        </w:rPr>
      </w:sdtEndPr>
      <w:sdtContent>
        <w:p w:rsidR="00A653C5" w:rsidRDefault="00A653C5" w:rsidP="00A653C5">
          <w:pPr>
            <w:ind w:left="0" w:firstLine="0"/>
            <w:rPr>
              <w:b/>
              <w:sz w:val="28"/>
              <w:szCs w:val="28"/>
              <w14:glow w14:rad="228600">
                <w14:schemeClr w14:val="accent4">
                  <w14:alpha w14:val="60000"/>
                  <w14:satMod w14:val="175000"/>
                </w14:schemeClr>
              </w14:glow>
            </w:rPr>
          </w:pPr>
          <w:r>
            <w:rPr>
              <w:noProof/>
            </w:rPr>
            <mc:AlternateContent>
              <mc:Choice Requires="wpg">
                <w:drawing>
                  <wp:anchor distT="0" distB="0" distL="114300" distR="114300" simplePos="0" relativeHeight="251659264" behindDoc="1" locked="0" layoutInCell="1" allowOverlap="1" wp14:anchorId="1830B730" wp14:editId="1FF05F9E">
                    <wp:simplePos x="0" y="0"/>
                    <wp:positionH relativeFrom="page">
                      <wp:posOffset>457200</wp:posOffset>
                    </wp:positionH>
                    <wp:positionV relativeFrom="page">
                      <wp:posOffset>457200</wp:posOffset>
                    </wp:positionV>
                    <wp:extent cx="6858000" cy="7731953"/>
                    <wp:effectExtent l="0" t="0" r="0" b="2540"/>
                    <wp:wrapNone/>
                    <wp:docPr id="119" name="مجموعة 119"/>
                    <wp:cNvGraphicFramePr/>
                    <a:graphic xmlns:a="http://schemas.openxmlformats.org/drawingml/2006/main">
                      <a:graphicData uri="http://schemas.microsoft.com/office/word/2010/wordprocessingGroup">
                        <wpg:wgp>
                          <wpg:cNvGrpSpPr/>
                          <wpg:grpSpPr>
                            <a:xfrm flipH="1">
                              <a:off x="0" y="0"/>
                              <a:ext cx="6858000" cy="7731953"/>
                              <a:chOff x="0" y="-1"/>
                              <a:chExt cx="6858000" cy="7458383"/>
                            </a:xfrm>
                          </wpg:grpSpPr>
                          <wps:wsp>
                            <wps:cNvPr id="120" name="مستطيل 120"/>
                            <wps:cNvSpPr/>
                            <wps:spPr>
                              <a:xfrm>
                                <a:off x="0" y="7315200"/>
                                <a:ext cx="6858000" cy="14318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 name="مربع النص 122"/>
                            <wps:cNvSpPr txBox="1"/>
                            <wps:spPr>
                              <a:xfrm>
                                <a:off x="0" y="-1"/>
                                <a:ext cx="6858000" cy="596920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imes New Roman" w:eastAsiaTheme="majorEastAsia" w:hAnsi="Times New Roman" w:cs="Times New Roman"/>
                                      <w:color w:val="595959" w:themeColor="text1" w:themeTint="A6"/>
                                      <w:sz w:val="108"/>
                                      <w:szCs w:val="108"/>
                                      <w:rtl/>
                                    </w:rPr>
                                    <w:alias w:val="العنوان"/>
                                    <w:tag w:val=""/>
                                    <w:id w:val="1576395525"/>
                                    <w:dataBinding w:prefixMappings="xmlns:ns0='http://purl.org/dc/elements/1.1/' xmlns:ns1='http://schemas.openxmlformats.org/package/2006/metadata/core-properties' " w:xpath="/ns1:coreProperties[1]/ns0:title[1]" w:storeItemID="{6C3C8BC8-F283-45AE-878A-BAB7291924A1}"/>
                                    <w:text/>
                                  </w:sdtPr>
                                  <w:sdtEndPr/>
                                  <w:sdtContent>
                                    <w:p w:rsidR="00A653C5" w:rsidRPr="00A653C5" w:rsidRDefault="00A653C5" w:rsidP="00A653C5">
                                      <w:pPr>
                                        <w:pStyle w:val="a3"/>
                                        <w:pBdr>
                                          <w:bottom w:val="single" w:sz="6" w:space="4" w:color="7F7F7F" w:themeColor="text1" w:themeTint="80"/>
                                        </w:pBdr>
                                        <w:jc w:val="center"/>
                                        <w:rPr>
                                          <w:rFonts w:ascii="Times New Roman" w:eastAsiaTheme="majorEastAsia" w:hAnsi="Times New Roman" w:cs="Times New Roman"/>
                                          <w:color w:val="595959" w:themeColor="text1" w:themeTint="A6"/>
                                          <w:sz w:val="108"/>
                                          <w:szCs w:val="108"/>
                                        </w:rPr>
                                      </w:pPr>
                                      <w:r w:rsidRPr="00A653C5">
                                        <w:rPr>
                                          <w:rFonts w:ascii="Times New Roman" w:eastAsiaTheme="majorEastAsia" w:hAnsi="Times New Roman" w:cs="Times New Roman"/>
                                          <w:color w:val="595959" w:themeColor="text1" w:themeTint="A6"/>
                                          <w:sz w:val="108"/>
                                          <w:szCs w:val="108"/>
                                        </w:rPr>
                                        <w:t>Ethics in Information security</w:t>
                                      </w:r>
                                    </w:p>
                                  </w:sdtContent>
                                </w:sdt>
                                <w:p w:rsidR="00A653C5" w:rsidRDefault="00A653C5" w:rsidP="00A653C5">
                                  <w:pPr>
                                    <w:pStyle w:val="a3"/>
                                    <w:spacing w:before="240"/>
                                    <w:rPr>
                                      <w:caps/>
                                      <w:color w:val="44546A" w:themeColor="text2"/>
                                      <w:sz w:val="36"/>
                                      <w:szCs w:val="36"/>
                                    </w:rPr>
                                  </w:pPr>
                                  <w:r>
                                    <w:rPr>
                                      <w:caps/>
                                      <w:noProof/>
                                      <w:color w:val="44546A" w:themeColor="text2"/>
                                      <w:sz w:val="36"/>
                                      <w:szCs w:val="36"/>
                                    </w:rPr>
                                    <w:drawing>
                                      <wp:inline distT="0" distB="0" distL="0" distR="0" wp14:anchorId="7B886B45" wp14:editId="3B882928">
                                        <wp:extent cx="5937250" cy="2783205"/>
                                        <wp:effectExtent l="0" t="0" r="635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thics-and-compliance-trends-640x300.jpg"/>
                                                <pic:cNvPicPr/>
                                              </pic:nvPicPr>
                                              <pic:blipFill>
                                                <a:blip r:embed="rId7">
                                                  <a:extLst>
                                                    <a:ext uri="{28A0092B-C50C-407E-A947-70E740481C1C}">
                                                      <a14:useLocalDpi xmlns:a14="http://schemas.microsoft.com/office/drawing/2010/main" val="0"/>
                                                    </a:ext>
                                                  </a:extLst>
                                                </a:blip>
                                                <a:stretch>
                                                  <a:fillRect/>
                                                </a:stretch>
                                              </pic:blipFill>
                                              <pic:spPr>
                                                <a:xfrm>
                                                  <a:off x="0" y="0"/>
                                                  <a:ext cx="5954555" cy="2791317"/>
                                                </a:xfrm>
                                                <a:prstGeom prst="rect">
                                                  <a:avLst/>
                                                </a:prstGeom>
                                              </pic:spPr>
                                            </pic:pic>
                                          </a:graphicData>
                                        </a:graphic>
                                      </wp:inline>
                                    </w:drawing>
                                  </w:r>
                                </w:p>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1830B730" id="مجموعة 119" o:spid="_x0000_s1026" style="position:absolute;margin-left:36pt;margin-top:36pt;width:540pt;height:608.8pt;flip:x;z-index:-251657216;mso-position-horizontal-relative:page;mso-position-vertical-relative:page" coordorigin="" coordsize="68580,74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skFqwMAAMIKAAAOAAAAZHJzL2Uyb0RvYy54bWzcVt1uEzkUvl9p38HyPZ1Mftpk1Anqlm1Z&#10;qYJqC+La9XiSETO2sZ1OyjWsVrwIuytuEEKIN5m8zR4fZyZpySIEEkh7M/HP8fn5fL4vPry7rEpy&#10;JYwtlExpvNejREiuskLOUvr40cmdMSXWMZmxUkmR0mth6d3pzz8d1joRfTVXZSYMASfSJrVO6dw5&#10;nUSR5XNRMbuntJCwmStTMQdTM4syw2rwXpVRv9fbj2plMm0UF9bC6r2wSafoP88Fdw/z3ApHypRC&#10;bg6/Br+X/htND1kyM0zPC75Og31FFhUrJATtXN1jjpGFKT5xVRXcKKtyt8dVFak8L7jAGqCauHer&#10;mlOjFhprmSX1THcwAbS3cPpqt/zB1bkhRQZ3F08okayCS1q9bN6sXq7+bD42fxO/DijVepaA8anR&#10;F/rcrBdmYeYLX+amInlZ6PvgCqGA4sgSkb7ukBZLRzgs7o9H414PLoTD3sHBIJ6MBuEu+BwubHPu&#10;Ttwu/7rz6HA0HozxaBRymB5GPtUus1pDY9kNdvbbsLuYMy3wSqyHo8WuD6V02L1r/mk+rF6tXpAY&#10;1hEqNO6As4kFDFvU/O8NrACOEfR2KHwnYvFwEI/73qCrmiXaWHcqVEX8IKUGeh/vgV2dWRdMWxMf&#10;0qqyyE6KssSJ55s4Lg25YsAUxrmQDqGHADcsS+ntpfIng1O/Api3ReHIXZfC25Xyd5FDe8GV9zEZ&#10;JPangTCHOctEiD+C3sD6ffQ2NSwWHXrrHOJ3vkPDdZa7iljb+6MCdaE73PtcYqHE7gRGVtJ1h6tC&#10;KrPLQdnBlwf7FqQAjUfpUmXX0EBGBVWymp8UcHVnzLpzZkCGoKlAWt1D+OSlqlOq1iNK5so837Xu&#10;7aHDYZeSGmQtpfbZghlBSfmbhN6fxMOh10GcDEcHvnHN9s7l9o5cVMcK+iEGEdcch97ele0wN6p6&#10;Agp85KPCFpMcYqeUO9NOjl2QW9BwLo6O0Ay0TzN3Ji80b9XCt+aj5RNm9Lp/HXT+A9XyjSW32jjY&#10;+vuQ6mjhVF5gj29wXeMN3Pfi9V1EoL8lAm+bv5qPpHm9erH6o3kPSoB09YmAbHglIG75iwJeIMv8&#10;+mc1odXBnXIwmuxP+r1v1IOO0p61BJptfzAK1Oh2gI2B/oEPa1nZ5I6jHdT/Aobt5vUXHPzevM6e&#10;trL4n7x2y8sl6IZH40dQHFl9k+Mdydu9LZbD3v+F5vjPDw8l/KdYP+r8S2x7jrKweXpO/wUAAP//&#10;AwBQSwMEFAAGAAgAAAAhAJoQnfvdAAAACwEAAA8AAABkcnMvZG93bnJldi54bWxMj09Lw0AQxe+C&#10;32EZwZvdNMRaYzalCIqIl0Zbetxmx2QxOxuy2zZ+eycg6Gn+vOHN7xWr0XXihEOwnhTMZwkIpNob&#10;S42Cj/enmyWIEDUZ3XlCBd8YYFVeXhQ6N/5MGzxVsRFsQiHXCtoY+1zKULfodJj5Hom1Tz84HXkc&#10;GmkGfWZz18k0SRbSaUv8odU9PrZYf1VHp2C7thlmu/3rW1Ijvhi5f65sptT11bh+ABFxjH/HMOEz&#10;OpTMdPBHMkF0Cu5SjhJ/66TPb6fNgbt0eb8AWRbyf4byBwAA//8DAFBLAQItABQABgAIAAAAIQC2&#10;gziS/gAAAOEBAAATAAAAAAAAAAAAAAAAAAAAAABbQ29udGVudF9UeXBlc10ueG1sUEsBAi0AFAAG&#10;AAgAAAAhADj9If/WAAAAlAEAAAsAAAAAAAAAAAAAAAAALwEAAF9yZWxzLy5yZWxzUEsBAi0AFAAG&#10;AAgAAAAhAKXOyQWrAwAAwgoAAA4AAAAAAAAAAAAAAAAALgIAAGRycy9lMm9Eb2MueG1sUEsBAi0A&#10;FAAGAAgAAAAhAJoQnfvdAAAACwEAAA8AAAAAAAAAAAAAAAAABQYAAGRycy9kb3ducmV2LnhtbFBL&#10;BQYAAAAABAAEAPMAAAAPBwAAAAA=&#10;">
                    <v:rect id="مستطيل 120" o:spid="_x0000_s1027" style="position:absolute;top:73152;width:68580;height:14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l5RxgAAANwAAAAPAAAAZHJzL2Rvd25yZXYueG1sRI9Ba8JA&#10;EIXvBf/DMkJvdaNCK6mriCCUIoVGPfQ2ZMdsNDsbstsY++s7h0JvM7w3732zXA++UT11sQ5sYDrJ&#10;QBGXwdZcGTgedk8LUDEhW2wCk4E7RVivRg9LzG248Sf1RaqUhHDM0YBLqc21jqUjj3ESWmLRzqHz&#10;mGTtKm07vEm4b/Qsy561x5qlwWFLW0fltfj2Bt4vL/PC9Zv+Z/5BJxdO+6/dNhrzOB42r6ASDenf&#10;/Hf9ZgV/JvjyjEygV78AAAD//wMAUEsBAi0AFAAGAAgAAAAhANvh9svuAAAAhQEAABMAAAAAAAAA&#10;AAAAAAAAAAAAAFtDb250ZW50X1R5cGVzXS54bWxQSwECLQAUAAYACAAAACEAWvQsW78AAAAVAQAA&#10;CwAAAAAAAAAAAAAAAAAfAQAAX3JlbHMvLnJlbHNQSwECLQAUAAYACAAAACEAGypeUcYAAADcAAAA&#10;DwAAAAAAAAAAAAAAAAAHAgAAZHJzL2Rvd25yZXYueG1sUEsFBgAAAAADAAMAtwAAAPoCAAAAAA==&#10;" fillcolor="#5b9bd5 [3204]" stroked="f" strokeweight="1pt"/>
                    <v:shapetype id="_x0000_t202" coordsize="21600,21600" o:spt="202" path="m,l,21600r21600,l21600,xe">
                      <v:stroke joinstyle="miter"/>
                      <v:path gradientshapeok="t" o:connecttype="rect"/>
                    </v:shapetype>
                    <v:shape id="مربع النص 122" o:spid="_x0000_s1028" type="#_x0000_t202" style="position:absolute;width:68580;height:596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hvlwgAAANwAAAAPAAAAZHJzL2Rvd25yZXYueG1sRE9Na8JA&#10;EL0X+h+WKXirm4YiJbqKiEKhXjSiHsfsmA1mZ0N2NWl/vSsUvM3jfc5k1tta3Kj1lWMFH8MEBHHh&#10;dMWlgl2+ev8C4QOyxtoxKfglD7Pp68sEM+063tBtG0oRQ9hnqMCE0GRS+sKQRT90DXHkzq61GCJs&#10;S6lb7GK4rWWaJCNpseLYYLChhaHisr1aBatDf+L872dnjsvlZ3c9FbzP10oN3vr5GESgPjzF/+5v&#10;HeenKTyeiRfI6R0AAP//AwBQSwECLQAUAAYACAAAACEA2+H2y+4AAACFAQAAEwAAAAAAAAAAAAAA&#10;AAAAAAAAW0NvbnRlbnRfVHlwZXNdLnhtbFBLAQItABQABgAIAAAAIQBa9CxbvwAAABUBAAALAAAA&#10;AAAAAAAAAAAAAB8BAABfcmVscy8ucmVsc1BLAQItABQABgAIAAAAIQDm6hvlwgAAANwAAAAPAAAA&#10;AAAAAAAAAAAAAAcCAABkcnMvZG93bnJldi54bWxQSwUGAAAAAAMAAwC3AAAA9gIAAAAA&#10;" filled="f" stroked="f" strokeweight=".5pt">
                      <v:textbox inset="36pt,36pt,36pt,36pt">
                        <w:txbxContent>
                          <w:sdt>
                            <w:sdtPr>
                              <w:rPr>
                                <w:rFonts w:ascii="Times New Roman" w:eastAsiaTheme="majorEastAsia" w:hAnsi="Times New Roman" w:cs="Times New Roman"/>
                                <w:color w:val="595959" w:themeColor="text1" w:themeTint="A6"/>
                                <w:sz w:val="108"/>
                                <w:szCs w:val="108"/>
                                <w:rtl/>
                              </w:rPr>
                              <w:alias w:val="العنوان"/>
                              <w:tag w:val=""/>
                              <w:id w:val="1576395525"/>
                              <w:dataBinding w:prefixMappings="xmlns:ns0='http://purl.org/dc/elements/1.1/' xmlns:ns1='http://schemas.openxmlformats.org/package/2006/metadata/core-properties' " w:xpath="/ns1:coreProperties[1]/ns0:title[1]" w:storeItemID="{6C3C8BC8-F283-45AE-878A-BAB7291924A1}"/>
                              <w:text/>
                            </w:sdtPr>
                            <w:sdtEndPr/>
                            <w:sdtContent>
                              <w:p w:rsidR="00A653C5" w:rsidRPr="00A653C5" w:rsidRDefault="00A653C5" w:rsidP="00A653C5">
                                <w:pPr>
                                  <w:pStyle w:val="a3"/>
                                  <w:pBdr>
                                    <w:bottom w:val="single" w:sz="6" w:space="4" w:color="7F7F7F" w:themeColor="text1" w:themeTint="80"/>
                                  </w:pBdr>
                                  <w:jc w:val="center"/>
                                  <w:rPr>
                                    <w:rFonts w:ascii="Times New Roman" w:eastAsiaTheme="majorEastAsia" w:hAnsi="Times New Roman" w:cs="Times New Roman"/>
                                    <w:color w:val="595959" w:themeColor="text1" w:themeTint="A6"/>
                                    <w:sz w:val="108"/>
                                    <w:szCs w:val="108"/>
                                  </w:rPr>
                                </w:pPr>
                                <w:r w:rsidRPr="00A653C5">
                                  <w:rPr>
                                    <w:rFonts w:ascii="Times New Roman" w:eastAsiaTheme="majorEastAsia" w:hAnsi="Times New Roman" w:cs="Times New Roman"/>
                                    <w:color w:val="595959" w:themeColor="text1" w:themeTint="A6"/>
                                    <w:sz w:val="108"/>
                                    <w:szCs w:val="108"/>
                                  </w:rPr>
                                  <w:t>Ethics in Information security</w:t>
                                </w:r>
                              </w:p>
                            </w:sdtContent>
                          </w:sdt>
                          <w:p w:rsidR="00A653C5" w:rsidRDefault="00A653C5" w:rsidP="00A653C5">
                            <w:pPr>
                              <w:pStyle w:val="a3"/>
                              <w:spacing w:before="240"/>
                              <w:rPr>
                                <w:caps/>
                                <w:color w:val="44546A" w:themeColor="text2"/>
                                <w:sz w:val="36"/>
                                <w:szCs w:val="36"/>
                              </w:rPr>
                            </w:pPr>
                            <w:r>
                              <w:rPr>
                                <w:caps/>
                                <w:noProof/>
                                <w:color w:val="44546A" w:themeColor="text2"/>
                                <w:sz w:val="36"/>
                                <w:szCs w:val="36"/>
                              </w:rPr>
                              <w:drawing>
                                <wp:inline distT="0" distB="0" distL="0" distR="0" wp14:anchorId="7B886B45" wp14:editId="3B882928">
                                  <wp:extent cx="5937250" cy="2783205"/>
                                  <wp:effectExtent l="0" t="0" r="635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thics-and-compliance-trends-640x300.jpg"/>
                                          <pic:cNvPicPr/>
                                        </pic:nvPicPr>
                                        <pic:blipFill>
                                          <a:blip r:embed="rId7">
                                            <a:extLst>
                                              <a:ext uri="{28A0092B-C50C-407E-A947-70E740481C1C}">
                                                <a14:useLocalDpi xmlns:a14="http://schemas.microsoft.com/office/drawing/2010/main" val="0"/>
                                              </a:ext>
                                            </a:extLst>
                                          </a:blip>
                                          <a:stretch>
                                            <a:fillRect/>
                                          </a:stretch>
                                        </pic:blipFill>
                                        <pic:spPr>
                                          <a:xfrm>
                                            <a:off x="0" y="0"/>
                                            <a:ext cx="5954555" cy="2791317"/>
                                          </a:xfrm>
                                          <a:prstGeom prst="rect">
                                            <a:avLst/>
                                          </a:prstGeom>
                                        </pic:spPr>
                                      </pic:pic>
                                    </a:graphicData>
                                  </a:graphic>
                                </wp:inline>
                              </w:drawing>
                            </w:r>
                          </w:p>
                        </w:txbxContent>
                      </v:textbox>
                    </v:shape>
                    <w10:wrap anchorx="page" anchory="page"/>
                  </v:group>
                </w:pict>
              </mc:Fallback>
            </mc:AlternateContent>
          </w:r>
          <w:r>
            <w:rPr>
              <w:b/>
              <w:sz w:val="28"/>
              <w:szCs w:val="28"/>
              <w14:glow w14:rad="228600">
                <w14:schemeClr w14:val="accent4">
                  <w14:alpha w14:val="60000"/>
                  <w14:satMod w14:val="175000"/>
                </w14:schemeClr>
              </w14:glow>
            </w:rPr>
            <w:br w:type="page"/>
          </w:r>
        </w:p>
      </w:sdtContent>
    </w:sdt>
    <w:p w:rsidR="00057E38" w:rsidRDefault="00A653C5" w:rsidP="00A653C5">
      <w:pPr>
        <w:spacing w:after="295" w:line="259" w:lineRule="auto"/>
        <w:ind w:left="10"/>
        <w:jc w:val="center"/>
        <w:rPr>
          <w:b/>
          <w:sz w:val="28"/>
          <w:szCs w:val="28"/>
          <w14:glow w14:rad="228600">
            <w14:schemeClr w14:val="accent4">
              <w14:alpha w14:val="60000"/>
              <w14:satMod w14:val="175000"/>
            </w14:schemeClr>
          </w14:glow>
        </w:rPr>
      </w:pPr>
      <w:r w:rsidRPr="00A653C5">
        <w:rPr>
          <w:b/>
          <w:sz w:val="28"/>
          <w:szCs w:val="28"/>
          <w14:glow w14:rad="228600">
            <w14:schemeClr w14:val="accent4">
              <w14:alpha w14:val="60000"/>
              <w14:satMod w14:val="175000"/>
            </w14:schemeClr>
          </w14:glow>
        </w:rPr>
        <w:lastRenderedPageBreak/>
        <w:t>Ethics in Information security</w:t>
      </w:r>
    </w:p>
    <w:p w:rsidR="00A653C5" w:rsidRPr="00A653C5" w:rsidRDefault="00A653C5" w:rsidP="00A653C5">
      <w:pPr>
        <w:spacing w:after="295" w:line="259" w:lineRule="auto"/>
        <w:ind w:left="10"/>
        <w:jc w:val="center"/>
        <w:rPr>
          <w:sz w:val="28"/>
          <w:szCs w:val="28"/>
          <w14:glow w14:rad="228600">
            <w14:schemeClr w14:val="accent4">
              <w14:alpha w14:val="60000"/>
              <w14:satMod w14:val="175000"/>
            </w14:schemeClr>
          </w14:glow>
        </w:rPr>
      </w:pPr>
    </w:p>
    <w:p w:rsidR="00417FE5" w:rsidRDefault="006F4884" w:rsidP="00927878">
      <w:pPr>
        <w:spacing w:line="360" w:lineRule="auto"/>
        <w:ind w:left="0"/>
        <w:rPr>
          <w:b/>
        </w:rPr>
      </w:pPr>
      <w:r>
        <w:rPr>
          <w:b/>
        </w:rPr>
        <w:t>Abstract:</w:t>
      </w:r>
    </w:p>
    <w:p w:rsidR="00057E38" w:rsidRDefault="006F4884" w:rsidP="00927878">
      <w:pPr>
        <w:spacing w:line="360" w:lineRule="auto"/>
        <w:ind w:left="0"/>
      </w:pPr>
      <w:r>
        <w:rPr>
          <w:b/>
        </w:rPr>
        <w:t xml:space="preserve"> </w:t>
      </w:r>
      <w:r>
        <w:t xml:space="preserve"> </w:t>
      </w:r>
      <w:r w:rsidR="002E10FA" w:rsidRPr="002E10FA">
        <w:t>This paper talks about</w:t>
      </w:r>
      <w:r w:rsidR="00E82386" w:rsidRPr="00E82386">
        <w:t xml:space="preserve"> Ethics in</w:t>
      </w:r>
      <w:r w:rsidR="002E10FA">
        <w:rPr>
          <w:rFonts w:hint="cs"/>
          <w:rtl/>
        </w:rPr>
        <w:t xml:space="preserve"> </w:t>
      </w:r>
      <w:r w:rsidR="002E10FA" w:rsidRPr="002E10FA">
        <w:t>inf</w:t>
      </w:r>
      <w:r w:rsidR="002E10FA">
        <w:t xml:space="preserve">ormation security, </w:t>
      </w:r>
      <w:proofErr w:type="gramStart"/>
      <w:r w:rsidR="002E10FA">
        <w:t xml:space="preserve">which </w:t>
      </w:r>
      <w:r>
        <w:t xml:space="preserve"> based</w:t>
      </w:r>
      <w:proofErr w:type="gramEnd"/>
      <w:r>
        <w:t xml:space="preserve"> on the concept of an 'information access state'; an information access state is a relation between a person </w:t>
      </w:r>
      <w:r w:rsidR="002E10FA">
        <w:t>or persons and some information</w:t>
      </w:r>
      <w:r>
        <w:t xml:space="preserve"> because it focuses on the importance of information to persons and it allows for the positive ethical value of both access to information and the </w:t>
      </w:r>
      <w:r w:rsidR="002E10FA">
        <w:t>denial of access to information</w:t>
      </w:r>
      <w:r w:rsidR="002E10FA">
        <w:rPr>
          <w:rFonts w:hint="cs"/>
          <w:rtl/>
        </w:rPr>
        <w:t xml:space="preserve">, </w:t>
      </w:r>
      <w:r w:rsidR="002E10FA" w:rsidRPr="002E10FA">
        <w:t xml:space="preserve"> Information integrity relies upon the development and operation of computer-based information systems. Those who undertake the planning, development and operation of these information systems have obligations to assure information integrity and overall to contribute to the public good. </w:t>
      </w:r>
      <w:r>
        <w:t xml:space="preserve"> </w:t>
      </w:r>
    </w:p>
    <w:p w:rsidR="00057E38" w:rsidRDefault="006F4884">
      <w:pPr>
        <w:pStyle w:val="1"/>
        <w:spacing w:after="289"/>
        <w:ind w:left="-5"/>
      </w:pPr>
      <w:r>
        <w:t>Introduction</w:t>
      </w:r>
      <w:r>
        <w:rPr>
          <w:b w:val="0"/>
        </w:rPr>
        <w:t xml:space="preserve"> </w:t>
      </w:r>
    </w:p>
    <w:p w:rsidR="00057E38" w:rsidRDefault="006F4884" w:rsidP="00417FE5">
      <w:pPr>
        <w:spacing w:line="360" w:lineRule="auto"/>
        <w:ind w:left="-5"/>
      </w:pPr>
      <w:r>
        <w:t xml:space="preserve">In 'What is </w:t>
      </w:r>
      <w:r w:rsidR="00E82386">
        <w:t xml:space="preserve">information </w:t>
      </w:r>
      <w:r>
        <w:t xml:space="preserve">Ethics?' James H. Moor called for the development of a 'coherent conceptual framework' to help us deal with the 'policy vacuums' created by new information technologies. Moor notes that all new technologies bring with them new human capabilities, and thus new possibilities for actions that may enhance or harm human (and other sentient) beings. With a technology as powerful and as increasingly ubiquitous as the computer these ne w possibilities are particularly radical and sweeping. When these new possibilities outstrip the solutions that we have worked out for balancing various powers and interests they create what Moor calls 'policy vacuums.' Problems are often solved on an ad hoc case-by-case basis, where policy makers attempt to fit these new situations into the existing framework. According to Moor more systematic approach is necessary, both to provide an overarching framework to unify these ad hoc decisions and to provide a theory that will allow us to make decisions in a more systematic manner. </w:t>
      </w:r>
    </w:p>
    <w:p w:rsidR="00057E38" w:rsidRDefault="006F4884" w:rsidP="00417FE5">
      <w:pPr>
        <w:spacing w:line="360" w:lineRule="auto"/>
        <w:ind w:left="-5"/>
      </w:pPr>
      <w:r>
        <w:t xml:space="preserve">Moor claims that this framework can be supplied by </w:t>
      </w:r>
      <w:proofErr w:type="gramStart"/>
      <w:r>
        <w:t>a</w:t>
      </w:r>
      <w:proofErr w:type="gramEnd"/>
      <w:r>
        <w:t xml:space="preserve"> </w:t>
      </w:r>
      <w:r w:rsidR="00E82386">
        <w:t xml:space="preserve">information </w:t>
      </w:r>
      <w:r>
        <w:t xml:space="preserve">ethics that focuses on the new capabilities that computing opens up. In this paper I suggest that information </w:t>
      </w:r>
      <w:r>
        <w:lastRenderedPageBreak/>
        <w:t xml:space="preserve">ethics can provide an important conceptual framework with which to understand a multitude of ethical issues that are arising due to new information technologies. The majority of questions typically addressed within the framework of </w:t>
      </w:r>
      <w:r w:rsidR="00E82386">
        <w:t xml:space="preserve">information </w:t>
      </w:r>
      <w:r>
        <w:t xml:space="preserve">ethics, such as privacy, intellectual property, filtering, censorship, the digital divide, etc., are fundamentally about who ought to have access to information and under what conditions. My view is that an ethics of information can be developed independently of an ethics of computers and computing. The key feature of information is precisely that it is medium independent. The same piece of information may be encoded in a human mind, a computer, a text, etc. Thus, an account of the ethical aspects of information more </w:t>
      </w:r>
      <w:proofErr w:type="gramStart"/>
      <w:r>
        <w:t>generally</w:t>
      </w:r>
      <w:proofErr w:type="gramEnd"/>
      <w:r>
        <w:t xml:space="preserve"> will have important implications for </w:t>
      </w:r>
      <w:r w:rsidR="00E82386">
        <w:t xml:space="preserve">information </w:t>
      </w:r>
      <w:r>
        <w:t xml:space="preserve">ethics, but is not essentially concerned with computers. </w:t>
      </w:r>
    </w:p>
    <w:p w:rsidR="00D914FD" w:rsidRDefault="006F4884" w:rsidP="00417FE5">
      <w:pPr>
        <w:spacing w:after="408" w:line="360" w:lineRule="auto"/>
        <w:ind w:left="-5"/>
      </w:pPr>
      <w:r>
        <w:t xml:space="preserve">While some work has been done within information ethics, no systematic attempt has been made to provide a general framework for dealing with the multitude of ethical issues related to information. In this paper, I begin to lay the groundwork for an account of information ethics. My goal in this paper is not to provide solutions to any particular ethical issue with regard to information, but to provide a framework within which we can discuss the ethical aspects of information. To develop this ethics of information, we will need to develop both an account of what information is and its value. To this end, I begin the paper by canvassing number of theories of information. Drawing from these theories I sketch a basic account of information that can serve as the conceptual starting point for a theory of information ethics. I then put forward an account based on what I call 'information access states'; an access state is a relation between a person or persons and some information. I argue that this framework is preferable to those theories put forward by </w:t>
      </w:r>
      <w:r w:rsidR="00E82386" w:rsidRPr="00E82386">
        <w:t>Warren, M. and Lucas, R. (2016</w:t>
      </w:r>
      <w:r w:rsidR="00E82386">
        <w:t xml:space="preserve">) </w:t>
      </w:r>
      <w:r>
        <w:t>because it focuses on the importance of information to persons and it allows for the positive ethical value of both access to information and the denial of access to information. As a result, I argue, the information access account allows us to capture a broader range of practical ethical issues with regard to information than either of these rival theories.</w:t>
      </w:r>
    </w:p>
    <w:p w:rsidR="00417FE5" w:rsidRDefault="00417FE5" w:rsidP="00417FE5">
      <w:pPr>
        <w:spacing w:after="408" w:line="360" w:lineRule="auto"/>
        <w:ind w:left="-5"/>
      </w:pPr>
    </w:p>
    <w:p w:rsidR="00057E38" w:rsidRPr="00417FE5" w:rsidRDefault="006F4884">
      <w:pPr>
        <w:spacing w:after="408"/>
        <w:ind w:left="-5"/>
        <w:rPr>
          <w:color w:val="FF0000"/>
        </w:rPr>
      </w:pPr>
      <w:r w:rsidRPr="00417FE5">
        <w:rPr>
          <w:color w:val="FF0000"/>
        </w:rPr>
        <w:lastRenderedPageBreak/>
        <w:t xml:space="preserve"> </w:t>
      </w:r>
      <w:r w:rsidRPr="00417FE5">
        <w:rPr>
          <w:b/>
          <w:color w:val="FF0000"/>
        </w:rPr>
        <w:t xml:space="preserve">I. What is Information? </w:t>
      </w:r>
    </w:p>
    <w:p w:rsidR="00057E38" w:rsidRDefault="006F4884">
      <w:pPr>
        <w:ind w:left="-5"/>
      </w:pPr>
      <w:r>
        <w:t xml:space="preserve">A discussion of the ethics of information must begin with some understanding of what is meant by 'information.' In this section, I lay some groundwork by considering various theories of information. While none of these theories provides a completely satisfactory theory of information from the perspective of information ethics, each focuses on one or more important features of information that will be essential to understanding the ethical issues I discuss later in the paper.  It is important to note that what we want here is a theory of information that can help us sort out issues in information ethics. </w:t>
      </w:r>
    </w:p>
    <w:p w:rsidR="00057E38" w:rsidRDefault="006F4884">
      <w:pPr>
        <w:ind w:left="-5"/>
      </w:pPr>
      <w:r>
        <w:t xml:space="preserve">Mathematicians and Computer Scientists have developed an 'Information Theory.' The schema by which Shannon and Weaver describe information includes a sender, an encoder, a decoder, and a receiver. An important feature of information captured by this theory is that a piece of information can only 'inform ' the receiver of the message if the receiver is able to decode the message. For example, if I do not know how to read, then I am not better informed by the multitude of signs I see around me. This is an important point to keep in mind when we talk about freedom of information, etc.; people can become more informed both by providing them with more information, and by giving them to decode the information that is already available. As a purely syntactic theory, however, 'information theory' has little to do with the nature of information in the way that we typically conceive it, i.e., as something that has a semantic content that can 'inform' us.  Thus, I would argue that it is not an adequate characterization of information for the purposes of the information ethicist. </w:t>
      </w:r>
    </w:p>
    <w:p w:rsidR="00057E38" w:rsidRDefault="006F4884">
      <w:pPr>
        <w:ind w:left="-5"/>
      </w:pPr>
      <w:r>
        <w:t xml:space="preserve">However, while we might agree that objects can 'contain' or 'provide' information, it does not seem quite right to say, as Buckland asserts, that the objects themselves are 'information.'  It is part of our everyday conception of information that it can be encoded in a number of different physical forms and cannot be equated with a physical entity; thus, a picture of information as something abstract better captures our concept of information. </w:t>
      </w:r>
    </w:p>
    <w:p w:rsidR="00057E38" w:rsidRDefault="006F4884" w:rsidP="00417FE5">
      <w:pPr>
        <w:spacing w:line="276" w:lineRule="auto"/>
        <w:ind w:left="-5"/>
      </w:pPr>
      <w:r>
        <w:t xml:space="preserve">Finally, we need to consider the distinction between accurate and inaccurate information. On our intuitive notion of information, we may want to reserve the term information for data that are true. The idea of being 'informed' seems to imply that one's epistemic state has been improved. But, for the purposes of information ethics there are good reasons to adopt a more permissive notion of information as something that has semantic content. Information can be dangerous in certain cases precisely because it is inaccurate, in other cases precisely because it is accurate. For example, access to accurate health information on the internet may be life saving, but access to inaccurate health information on the internet may be deadly. On the other hand, outsiders having accurate information about government or industry secrets may be harmful to the endeavors government of industry, but their possession of inaccurate information may be harmless or positively helpful to </w:t>
      </w:r>
      <w:r>
        <w:lastRenderedPageBreak/>
        <w:t xml:space="preserve">the endeavors of government or industry. Thus, a notion of information for the purposes of information ethics needs to be able to cover both types of information. </w:t>
      </w:r>
    </w:p>
    <w:p w:rsidR="00417FE5" w:rsidRDefault="00417FE5">
      <w:pPr>
        <w:ind w:left="-5"/>
      </w:pPr>
    </w:p>
    <w:p w:rsidR="00057E38" w:rsidRPr="00417FE5" w:rsidRDefault="006F4884">
      <w:pPr>
        <w:pStyle w:val="1"/>
        <w:ind w:left="-5"/>
        <w:rPr>
          <w:color w:val="FF0000"/>
        </w:rPr>
      </w:pPr>
      <w:r w:rsidRPr="00417FE5">
        <w:rPr>
          <w:color w:val="FF0000"/>
        </w:rPr>
        <w:t xml:space="preserve">II. The Value of Information </w:t>
      </w:r>
    </w:p>
    <w:p w:rsidR="002E10FA" w:rsidRDefault="006F4884" w:rsidP="00854E9A">
      <w:pPr>
        <w:spacing w:after="0"/>
        <w:ind w:left="-5"/>
        <w:rPr>
          <w:rtl/>
        </w:rPr>
      </w:pPr>
      <w:r>
        <w:t>An information ethics must have a conception of what makes information valuable</w:t>
      </w:r>
      <w:r w:rsidR="002E10FA">
        <w:rPr>
          <w:rFonts w:hint="cs"/>
          <w:rtl/>
        </w:rPr>
        <w:t xml:space="preserve">. </w:t>
      </w:r>
    </w:p>
    <w:p w:rsidR="00854E9A" w:rsidRDefault="00854E9A" w:rsidP="00854E9A">
      <w:pPr>
        <w:spacing w:after="136"/>
        <w:ind w:left="-5"/>
      </w:pPr>
      <w:r>
        <w:t>Each day society becomes more and more reliant upon information created and communicated using technology. Everybody expects such information to be correct. Central</w:t>
      </w:r>
      <w:r>
        <w:rPr>
          <w:rFonts w:hint="cs"/>
          <w:rtl/>
        </w:rPr>
        <w:t xml:space="preserve"> </w:t>
      </w:r>
      <w:r>
        <w:t>to this evolution is the increasingly disparate array of application information systems. It seems that individuals, organisations and society as a whole have an insatiable appetite for information.</w:t>
      </w:r>
    </w:p>
    <w:p w:rsidR="002E10FA" w:rsidRDefault="00854E9A" w:rsidP="00854E9A">
      <w:pPr>
        <w:spacing w:after="286"/>
        <w:ind w:left="-5"/>
        <w:rPr>
          <w:rtl/>
        </w:rPr>
      </w:pPr>
      <w:r>
        <w:t>Some argue that as a consequence, society becomes more and more vulnerable to catastrophe. The ransomware attack of May 2017, which caused the closure of many of the accident and emergency units in hospitals in the UK, is evidence of this. With the world in current economic crisis, the headlong drive for ef</w:t>
      </w:r>
      <w:r>
        <w:rPr>
          <w:rFonts w:ascii="Calibri" w:eastAsia="Calibri" w:hAnsi="Calibri" w:cs="Calibri"/>
        </w:rPr>
        <w:t>fi</w:t>
      </w:r>
      <w:r>
        <w:t>ciency and effectiveness (and resulting pro</w:t>
      </w:r>
      <w:r>
        <w:rPr>
          <w:rFonts w:ascii="Calibri" w:eastAsia="Calibri" w:hAnsi="Calibri" w:cs="Calibri"/>
        </w:rPr>
        <w:t>fi</w:t>
      </w:r>
      <w:r>
        <w:t>t) is the watchword. Such pressure might have resulted in real gains but has also led to unscrupulous or reckless actions. The tempering of such drive with ethical consideration is often neglected until there is a detrimental event causing public outcry. Such an event will usually attract both media interest and social media postings, which in turn places more and more pressure on the actors to account for the reasons why the event had occurred. This cause and effect map is commonplace</w:t>
      </w:r>
    </w:p>
    <w:p w:rsidR="00854E9A" w:rsidRDefault="00854E9A" w:rsidP="00854E9A">
      <w:pPr>
        <w:ind w:left="-5"/>
      </w:pPr>
      <w:r>
        <w:t>A focus on the value of information as a good, however, constructs an overly narrow conception of information ethics, because it fails to account for cases where it is morally preferable, or required, that certain persons be denied access to information (e.g., for purposes of protecting intellectual property, privacy, and security).  Admittedly, one can go quite a long way toward justifying such restrictions on access in terms of the long</w:t>
      </w:r>
      <w:r w:rsidR="00E82386">
        <w:t xml:space="preserve"> </w:t>
      </w:r>
      <w:r>
        <w:t xml:space="preserve">term positive impact that these restrictions would have on the access to information.  For example, the restriction on access produced by intellectual property rights is often justified in terms of the incentives that such rights produce for the production and dissemination of new information. But, not all reasonable restrictions on information access can be justified in terms of the long-term or outweighing increase in information production and access. It is not plausible, for example, that the right to privacy can be completely justified in terms of an overall increase in information access. </w:t>
      </w:r>
    </w:p>
    <w:p w:rsidR="00854E9A" w:rsidRDefault="00854E9A" w:rsidP="00854E9A">
      <w:pPr>
        <w:spacing w:after="286"/>
        <w:ind w:left="-5"/>
        <w:rPr>
          <w:rtl/>
        </w:rPr>
      </w:pPr>
    </w:p>
    <w:p w:rsidR="00057E38" w:rsidRDefault="006F4884">
      <w:pPr>
        <w:spacing w:after="286"/>
        <w:ind w:left="-5"/>
      </w:pPr>
      <w:r>
        <w:t xml:space="preserve">Van den </w:t>
      </w:r>
      <w:proofErr w:type="spellStart"/>
      <w:r>
        <w:t>Hoven's</w:t>
      </w:r>
      <w:proofErr w:type="spellEnd"/>
      <w:r>
        <w:t xml:space="preserve"> view that information is a primary good, on the other hand, has the advantage in that it focuses on the value that information has for persons. According to Van den Hoven, 'information or access to data relevant to one's legitimate purposes in life qualify as Rawlsian primary goods' (2). In short, assuming that (accurate) information is </w:t>
      </w:r>
      <w:r>
        <w:lastRenderedPageBreak/>
        <w:t xml:space="preserve">generally useful, it is an all-purpose good, analogous to Rawls' primary good of money, and the more information that persons have access to, the better. </w:t>
      </w:r>
    </w:p>
    <w:p w:rsidR="00057E38" w:rsidRDefault="006F4884">
      <w:pPr>
        <w:ind w:left="-5"/>
      </w:pPr>
      <w:r>
        <w:t xml:space="preserve">Van den Hoven is right to focus on the important role that information has in human life. Not only is information a kind of primary good that helps us to achieve whatever our ends are, it also helps us to shape our ends, by providing us with information about the world, others human beings, value systems, etc. My account, however, goes beyond van den </w:t>
      </w:r>
      <w:proofErr w:type="spellStart"/>
      <w:r>
        <w:t>Hoven's</w:t>
      </w:r>
      <w:proofErr w:type="spellEnd"/>
      <w:r>
        <w:t xml:space="preserve"> by noting that states where persons do not have information can also be morally desirable. Below, I suggest that we focus, not on the value of information per se either as an object or as a good, but on the value of various states of information access. </w:t>
      </w:r>
    </w:p>
    <w:p w:rsidR="00057E38" w:rsidRDefault="006F4884">
      <w:pPr>
        <w:ind w:left="-5"/>
      </w:pPr>
      <w:r>
        <w:t xml:space="preserve">We can define 'access' as a relation between a piece (or pieces) of information and a person (or persons). I will be calling the state described by this two-place access relation an 'information access state' (or 'access state' for short). Very simply there are two possible states that some agent can be in vis-a-vis a piece of information. A particular person p may have access or m ay not have access to some piece of information y. We can represent these states by the following schema: </w:t>
      </w:r>
      <w:proofErr w:type="spellStart"/>
      <w:r>
        <w:t>pAy</w:t>
      </w:r>
      <w:proofErr w:type="spellEnd"/>
      <w:r>
        <w:t xml:space="preserve"> (i.e., person p has access to piece of information y). We can represent that state where an individua</w:t>
      </w:r>
      <w:r w:rsidR="00E82386">
        <w:t>l p does not have access to som</w:t>
      </w:r>
      <w:r>
        <w:t>e piece of information y as ~(</w:t>
      </w:r>
      <w:proofErr w:type="spellStart"/>
      <w:r>
        <w:t>pAy</w:t>
      </w:r>
      <w:proofErr w:type="spellEnd"/>
      <w:r>
        <w:t xml:space="preserve">). </w:t>
      </w:r>
    </w:p>
    <w:p w:rsidR="00854E9A" w:rsidRDefault="00854E9A" w:rsidP="00417FE5">
      <w:pPr>
        <w:spacing w:line="276" w:lineRule="auto"/>
        <w:ind w:left="-5"/>
        <w:rPr>
          <w:rtl/>
        </w:rPr>
      </w:pPr>
    </w:p>
    <w:p w:rsidR="00057E38" w:rsidRDefault="006F4884" w:rsidP="00417FE5">
      <w:pPr>
        <w:spacing w:line="276" w:lineRule="auto"/>
        <w:ind w:left="-5"/>
      </w:pPr>
      <w:r>
        <w:t xml:space="preserve">We can now define various everyday information states in terms o f this access relation. Very </w:t>
      </w:r>
      <w:proofErr w:type="spellStart"/>
      <w:r>
        <w:t>simply'privacy</w:t>
      </w:r>
      <w:proofErr w:type="spellEnd"/>
      <w:r>
        <w:t>, secrecy, censorship, and the rights enjoyed by owners of intellectual property invol</w:t>
      </w:r>
      <w:r w:rsidR="00E82386">
        <w:t>ve restricting access to inform</w:t>
      </w:r>
      <w:r>
        <w:t>ation. Intellectual freedom, freedom of speech, t</w:t>
      </w:r>
      <w:r w:rsidR="00E82386">
        <w:t>he 'right to read,' etc. involv</w:t>
      </w:r>
      <w:r>
        <w:t>e allowing or promoting access to information. So</w:t>
      </w:r>
      <w:r w:rsidR="00E82386">
        <w:t>me might object to this charact</w:t>
      </w:r>
      <w:r>
        <w:t xml:space="preserve">erization. With regard to privacy, for example, it has been claimed that a piece of information is private if it has a particular kind of content (e.g., it </w:t>
      </w:r>
      <w:r w:rsidR="00E82386">
        <w:t>is p</w:t>
      </w:r>
      <w:r>
        <w:t xml:space="preserve">ersonal) or if I have </w:t>
      </w:r>
      <w:proofErr w:type="gramStart"/>
      <w:r>
        <w:t>do</w:t>
      </w:r>
      <w:proofErr w:type="gramEnd"/>
      <w:r>
        <w:t xml:space="preserve"> have or ought to have, c</w:t>
      </w:r>
      <w:r w:rsidR="00E82386">
        <w:t>ontrol over that information. B</w:t>
      </w:r>
      <w:r>
        <w:t xml:space="preserve">ut, here I want to provide a neutral description </w:t>
      </w:r>
      <w:r w:rsidR="00E82386">
        <w:t>that does not presuppose a part</w:t>
      </w:r>
      <w:r>
        <w:t>icular ethical evaluation. Once we have this characterization worked out, we can go on to ask what kinds of information ought to be private and how certain access states should be promoted and protected (i.e.,</w:t>
      </w:r>
      <w:r w:rsidR="00E82386">
        <w:t xml:space="preserve"> via rights, utilitarian calcul</w:t>
      </w:r>
      <w:r>
        <w:t xml:space="preserve">ations, etc.). </w:t>
      </w:r>
    </w:p>
    <w:p w:rsidR="00057E38" w:rsidRDefault="006F4884" w:rsidP="00417FE5">
      <w:pPr>
        <w:spacing w:line="276" w:lineRule="auto"/>
        <w:ind w:left="-5"/>
      </w:pPr>
      <w:r>
        <w:t>Of course, ethical issues regardi</w:t>
      </w:r>
      <w:r w:rsidR="00E82386">
        <w:t>ng information are often descri</w:t>
      </w:r>
      <w:r>
        <w:t>bed, not in terms of the value of particular access states, but in terms of the rights that persons have in reference to these states. We can characterize these rights in terms of access states. Rights to control access states include right s that are generally concerned with the power to limit access to information. These include the right to privacy and the right to intellectual property. We can distinguish these rights from those that are generally concerned with increasing access to information. These include liberty rig</w:t>
      </w:r>
      <w:r w:rsidR="00E82386">
        <w:t>hts, such as freedom of the pre</w:t>
      </w:r>
      <w:r>
        <w:t xml:space="preserve">ss, intellectual freedom (e.g., the right to read), free speech (since the right to speak is </w:t>
      </w:r>
      <w:r>
        <w:lastRenderedPageBreak/>
        <w:t xml:space="preserve">meaningless without the right of others to 'access' this speech) an d welfare rights, such as the right to an education (thus enabling access), the right to information resources, etc. </w:t>
      </w:r>
    </w:p>
    <w:p w:rsidR="00417FE5" w:rsidRDefault="00417FE5">
      <w:pPr>
        <w:ind w:left="-5"/>
      </w:pPr>
    </w:p>
    <w:p w:rsidR="00057E38" w:rsidRPr="00417FE5" w:rsidRDefault="006F4884">
      <w:pPr>
        <w:pStyle w:val="1"/>
        <w:ind w:left="-5"/>
        <w:rPr>
          <w:color w:val="FF0000"/>
        </w:rPr>
      </w:pPr>
      <w:r w:rsidRPr="00417FE5">
        <w:rPr>
          <w:color w:val="FF0000"/>
        </w:rPr>
        <w:t xml:space="preserve">III. The Moral Value of Information Access States </w:t>
      </w:r>
    </w:p>
    <w:p w:rsidR="00057E38" w:rsidRDefault="006F4884" w:rsidP="00417FE5">
      <w:pPr>
        <w:spacing w:line="360" w:lineRule="auto"/>
        <w:ind w:left="-5"/>
      </w:pPr>
      <w:r>
        <w:t xml:space="preserve">A simple way to understand the ethical value of information access states is to concentrate on the value that such states have for and in relation to persons. This is in line with the standard view in ethical theory that moral value comes into the world with human beings. We should not, however, equate the moral value of some access state with value that some agent puts on that access state. The fact that some person values some access state does not mean that it is morally valuable that the access state </w:t>
      </w:r>
      <w:proofErr w:type="gramStart"/>
      <w:r>
        <w:t>obtain</w:t>
      </w:r>
      <w:proofErr w:type="gramEnd"/>
      <w:r>
        <w:t xml:space="preserve">. If a person's plan of life is destructive, for example, then access to information that will allow them to carry out that plan is not morally desirable. While the moral value of an access states is always determined by how it impacts persons in terms of their preferences, autonomy, well-being, virtue, etc., we need to distinguish the value that individuals put on access states from the moral value of these access states themselves. So, when I say that some state is 'valuable for a person' (or group of persons) what I mean is that the state promotes that person's (or group of persons) preferences, autonomy, well-being, virtue, etc. </w:t>
      </w:r>
    </w:p>
    <w:p w:rsidR="00057E38" w:rsidRDefault="006F4884" w:rsidP="00417FE5">
      <w:pPr>
        <w:spacing w:line="360" w:lineRule="auto"/>
        <w:ind w:left="-5"/>
      </w:pPr>
      <w:r>
        <w:t xml:space="preserve">Starting with the access relation defined above, we can describe another two-place relation, the value relation the first term is the person (or persons) for whom state is or is not of value and the second the access relation. We can divide the terrain into the following possibilities: </w:t>
      </w:r>
    </w:p>
    <w:p w:rsidR="00057E38" w:rsidRDefault="006F4884" w:rsidP="00417FE5">
      <w:pPr>
        <w:spacing w:line="360" w:lineRule="auto"/>
        <w:ind w:left="-5"/>
      </w:pPr>
      <w:r>
        <w:t xml:space="preserve">It is valuable for a person (or set of persons) p that </w:t>
      </w:r>
      <w:proofErr w:type="spellStart"/>
      <w:r>
        <w:t>pAy</w:t>
      </w:r>
      <w:proofErr w:type="spellEnd"/>
      <w:r>
        <w:t xml:space="preserve"> or </w:t>
      </w:r>
      <w:proofErr w:type="spellStart"/>
      <w:r>
        <w:t>th</w:t>
      </w:r>
      <w:proofErr w:type="spellEnd"/>
      <w:r>
        <w:t xml:space="preserve"> at ~(</w:t>
      </w:r>
      <w:proofErr w:type="spellStart"/>
      <w:r>
        <w:t>pAy</w:t>
      </w:r>
      <w:proofErr w:type="spellEnd"/>
      <w:r>
        <w:t xml:space="preserve">). </w:t>
      </w:r>
    </w:p>
    <w:p w:rsidR="00057E38" w:rsidRDefault="006F4884" w:rsidP="00417FE5">
      <w:pPr>
        <w:spacing w:line="360" w:lineRule="auto"/>
        <w:ind w:left="-5"/>
      </w:pPr>
      <w:r>
        <w:t>It is valuable for a person (or set of persons) that, some other person (or set of persons) q, (</w:t>
      </w:r>
      <w:proofErr w:type="spellStart"/>
      <w:r>
        <w:t>qAy</w:t>
      </w:r>
      <w:proofErr w:type="spellEnd"/>
      <w:r>
        <w:t>) or ~(</w:t>
      </w:r>
      <w:proofErr w:type="spellStart"/>
      <w:r>
        <w:t>qAy</w:t>
      </w:r>
      <w:proofErr w:type="spellEnd"/>
      <w:r>
        <w:t xml:space="preserve">). </w:t>
      </w:r>
    </w:p>
    <w:p w:rsidR="00057E38" w:rsidRDefault="006F4884" w:rsidP="00417FE5">
      <w:pPr>
        <w:spacing w:line="360" w:lineRule="auto"/>
        <w:ind w:left="-5"/>
      </w:pPr>
      <w:r>
        <w:lastRenderedPageBreak/>
        <w:t>An information access state can be valuable either in itself or as a means. Aristotle famously commented that, 'Persons by their nature desire to know.' It may also be argued that there is something inherently valuable in persons not having access to certain kinds of personal information about us. There are a number of ways in which access states can be valuable as a means. First, as van den Hoven points out, access to information is an all-purpose good, because information can be used to achieve all sorts of ends persons may have. Second, access to information can benefit not just the individuals who have the information (or the capacity to gain information), but entire societies. There are numerous studies, for example, that show that the more women who are literate (</w:t>
      </w:r>
      <w:proofErr w:type="gramStart"/>
      <w:r>
        <w:t>e.g. ,</w:t>
      </w:r>
      <w:proofErr w:type="gramEnd"/>
      <w:r>
        <w:t xml:space="preserve"> are able to independently access the available written information), the lower the birth rate and the better off the entire community. Of course, on the other hand, restricting access to information may also be means to promoting some morally valuable condition of mine or of an entire society. It has been argued that privacy, for example, which restricts the access of others to certain information about the self, is an important means to creating the possibility of relation ships. </w:t>
      </w:r>
    </w:p>
    <w:p w:rsidR="00057E38" w:rsidRDefault="006F4884" w:rsidP="00417FE5">
      <w:pPr>
        <w:spacing w:line="360" w:lineRule="auto"/>
        <w:ind w:left="-5"/>
      </w:pPr>
      <w:r>
        <w:t xml:space="preserve">The production of future valuable access states is often used as an argument for some current practice with regard to information. Indeed, it is often argued that withholding or restricting access to information at present may lead to more information and greater access in the future (or access to some more valuable information). This argument is often made with regard to confidentiality and intellectual property. With regard to confidentiality, the claim is that providing information to some third party about some activity or state of the first party, may lead to the first party withholding information in the future. With regard to intellectual property, the claim is made that allowing creators of the information to control who is able to access the information (and thereby possibly denying access to the information by those who would value it), promotes the creation of valuable access states in the future by encouraging creators to invest more time or energy in creating information. </w:t>
      </w:r>
    </w:p>
    <w:p w:rsidR="00057E38" w:rsidRPr="00417FE5" w:rsidRDefault="006F4884">
      <w:pPr>
        <w:pStyle w:val="1"/>
        <w:ind w:left="-5"/>
        <w:rPr>
          <w:color w:val="FF0000"/>
        </w:rPr>
      </w:pPr>
      <w:r w:rsidRPr="00417FE5">
        <w:rPr>
          <w:color w:val="FF0000"/>
        </w:rPr>
        <w:lastRenderedPageBreak/>
        <w:t xml:space="preserve">V. </w:t>
      </w:r>
      <w:r w:rsidRPr="00417FE5">
        <w:rPr>
          <w:color w:val="FF0000"/>
          <w:sz w:val="28"/>
          <w:szCs w:val="28"/>
        </w:rPr>
        <w:t>Conclusion</w:t>
      </w:r>
      <w:r w:rsidRPr="00417FE5">
        <w:rPr>
          <w:color w:val="FF0000"/>
        </w:rPr>
        <w:t xml:space="preserve"> </w:t>
      </w:r>
    </w:p>
    <w:p w:rsidR="00854E9A" w:rsidRDefault="006F4884" w:rsidP="00417FE5">
      <w:pPr>
        <w:spacing w:line="360" w:lineRule="auto"/>
        <w:ind w:left="-5"/>
      </w:pPr>
      <w:r>
        <w:t xml:space="preserve">we can consider such issues as privacy, intellectual property, and information access and that can help guide us in our policy choices regarding laws, policies, etc. concerning information issues. My central claim has been that the focus of an information ethic should be on the value that access states have for human beings. This paper, however, has only specified the object of ethical evaluation (e.g., access states) and the ways in which these states may be valuable (e.g., as means or as ends in themselves); more work needs to be done to show why particular access states are morally valuable. </w:t>
      </w:r>
    </w:p>
    <w:p w:rsidR="00854E9A" w:rsidRPr="00854E9A" w:rsidRDefault="00854E9A" w:rsidP="00417FE5">
      <w:pPr>
        <w:spacing w:line="360" w:lineRule="auto"/>
        <w:ind w:left="-5"/>
        <w:rPr>
          <w:lang w:val="en-US"/>
        </w:rPr>
      </w:pPr>
      <w:r w:rsidRPr="00854E9A">
        <w:rPr>
          <w:lang w:val="en-US"/>
        </w:rPr>
        <w:t>on the other side</w:t>
      </w:r>
      <w:r>
        <w:rPr>
          <w:lang w:val="en-US"/>
        </w:rPr>
        <w:t xml:space="preserve"> </w:t>
      </w:r>
      <w:r w:rsidRPr="00854E9A">
        <w:rPr>
          <w:lang w:val="en-US"/>
        </w:rPr>
        <w:t>there is a need to increase awareness, interest and action concerning the ethical dimension of Information Systems both as a discipline and as a practice. There is opportunity for multidisciplinary dialogue which will promote greater attention to these issues. The overall aim is to act as a catalyst for action within the IS community. As such there are four objectives:</w:t>
      </w:r>
    </w:p>
    <w:p w:rsidR="00854E9A" w:rsidRPr="00854E9A" w:rsidRDefault="00854E9A" w:rsidP="00854E9A">
      <w:pPr>
        <w:ind w:left="-5"/>
        <w:rPr>
          <w:lang w:val="en-US"/>
        </w:rPr>
      </w:pPr>
      <w:r w:rsidRPr="00854E9A">
        <w:rPr>
          <w:lang w:val="en-US"/>
        </w:rPr>
        <w:t>(1)</w:t>
      </w:r>
      <w:r w:rsidRPr="00854E9A">
        <w:rPr>
          <w:lang w:val="en-US"/>
        </w:rPr>
        <w:tab/>
        <w:t>to encourage wider debate concerning the ethics of information systems;</w:t>
      </w:r>
    </w:p>
    <w:p w:rsidR="00854E9A" w:rsidRPr="00854E9A" w:rsidRDefault="00854E9A" w:rsidP="00854E9A">
      <w:pPr>
        <w:ind w:left="-5"/>
        <w:rPr>
          <w:lang w:val="en-US"/>
        </w:rPr>
      </w:pPr>
      <w:r w:rsidRPr="00854E9A">
        <w:rPr>
          <w:lang w:val="en-US"/>
        </w:rPr>
        <w:t>(2)</w:t>
      </w:r>
      <w:r w:rsidRPr="00854E9A">
        <w:rPr>
          <w:lang w:val="en-US"/>
        </w:rPr>
        <w:tab/>
        <w:t>to explore current application areas and technological infrastructures to tease out some of the key ethical challenges;</w:t>
      </w:r>
    </w:p>
    <w:p w:rsidR="00854E9A" w:rsidRPr="00854E9A" w:rsidRDefault="00854E9A" w:rsidP="00854E9A">
      <w:pPr>
        <w:ind w:left="-5"/>
        <w:rPr>
          <w:lang w:val="en-US"/>
        </w:rPr>
      </w:pPr>
      <w:r w:rsidRPr="00854E9A">
        <w:rPr>
          <w:lang w:val="en-US"/>
        </w:rPr>
        <w:t>(3)</w:t>
      </w:r>
      <w:r w:rsidRPr="00854E9A">
        <w:rPr>
          <w:lang w:val="en-US"/>
        </w:rPr>
        <w:tab/>
        <w:t>to consider how current management practices allow or hinder the addressing of such challenges; and</w:t>
      </w:r>
    </w:p>
    <w:p w:rsidR="00854E9A" w:rsidRPr="00854E9A" w:rsidRDefault="00854E9A" w:rsidP="00854E9A">
      <w:pPr>
        <w:ind w:left="-5"/>
        <w:rPr>
          <w:lang w:val="en-US"/>
        </w:rPr>
      </w:pPr>
      <w:r w:rsidRPr="00854E9A">
        <w:rPr>
          <w:lang w:val="en-US"/>
        </w:rPr>
        <w:t>(4)</w:t>
      </w:r>
      <w:r w:rsidRPr="00854E9A">
        <w:rPr>
          <w:lang w:val="en-US"/>
        </w:rPr>
        <w:tab/>
        <w:t>to suggest ways forward for practitioners which will increase the chance of ethically acceptable application systems.</w:t>
      </w:r>
    </w:p>
    <w:p w:rsidR="00854E9A" w:rsidRPr="00854E9A" w:rsidRDefault="00854E9A" w:rsidP="00854E9A">
      <w:pPr>
        <w:ind w:left="-5"/>
        <w:rPr>
          <w:lang w:val="en-US"/>
        </w:rPr>
      </w:pPr>
      <w:r w:rsidRPr="00854E9A">
        <w:rPr>
          <w:lang w:val="en-US"/>
        </w:rPr>
        <w:t>It is possible to develop an agenda of ethical issues surrounding the development and use of information systems. The agenda could be subdivided into three parts:</w:t>
      </w:r>
    </w:p>
    <w:p w:rsidR="00854E9A" w:rsidRPr="00854E9A" w:rsidRDefault="00854E9A" w:rsidP="00854E9A">
      <w:pPr>
        <w:ind w:left="-5"/>
        <w:rPr>
          <w:lang w:val="en-US"/>
        </w:rPr>
      </w:pPr>
      <w:r w:rsidRPr="00854E9A">
        <w:rPr>
          <w:lang w:val="en-US"/>
        </w:rPr>
        <w:t>(1)</w:t>
      </w:r>
      <w:r w:rsidRPr="00854E9A">
        <w:rPr>
          <w:lang w:val="en-US"/>
        </w:rPr>
        <w:tab/>
        <w:t>Application Areas: for example, Internet of Things, Cloud Computing, Social Media, Big Data;</w:t>
      </w:r>
    </w:p>
    <w:p w:rsidR="00854E9A" w:rsidRPr="00854E9A" w:rsidRDefault="00854E9A" w:rsidP="00854E9A">
      <w:pPr>
        <w:ind w:left="-5"/>
        <w:rPr>
          <w:lang w:val="en-US"/>
        </w:rPr>
      </w:pPr>
      <w:r w:rsidRPr="00854E9A">
        <w:rPr>
          <w:lang w:val="en-US"/>
        </w:rPr>
        <w:t>(2)</w:t>
      </w:r>
      <w:r w:rsidRPr="00854E9A">
        <w:rPr>
          <w:lang w:val="en-US"/>
        </w:rPr>
        <w:tab/>
        <w:t>Techniques: for example, Ethics Algorithms, Sentiment Analysis, Public Beta Testing; and</w:t>
      </w:r>
    </w:p>
    <w:p w:rsidR="00854E9A" w:rsidRPr="00854E9A" w:rsidRDefault="00854E9A" w:rsidP="00854E9A">
      <w:pPr>
        <w:ind w:left="-5"/>
        <w:rPr>
          <w:lang w:val="en-US"/>
        </w:rPr>
      </w:pPr>
      <w:r w:rsidRPr="00854E9A">
        <w:rPr>
          <w:lang w:val="en-US"/>
        </w:rPr>
        <w:t>(3)</w:t>
      </w:r>
      <w:r w:rsidRPr="00854E9A">
        <w:rPr>
          <w:lang w:val="en-US"/>
        </w:rPr>
        <w:tab/>
        <w:t>Holistic Concerns: for example, Privacy, Cybersecurity, Equality of Access, Data and Discrimination.</w:t>
      </w:r>
    </w:p>
    <w:p w:rsidR="00854E9A" w:rsidRDefault="00854E9A" w:rsidP="00854E9A">
      <w:pPr>
        <w:ind w:left="-5"/>
        <w:rPr>
          <w:lang w:val="en-US"/>
        </w:rPr>
      </w:pPr>
      <w:r w:rsidRPr="00854E9A">
        <w:rPr>
          <w:lang w:val="en-US"/>
        </w:rPr>
        <w:lastRenderedPageBreak/>
        <w:t>The success of such an initiative requires all those involved in Information Systems research, education and practice to contribute to the detailed planning of the initiative and to be proactive in its implementation.</w:t>
      </w:r>
    </w:p>
    <w:p w:rsidR="00417FE5" w:rsidRDefault="00417FE5" w:rsidP="00854E9A">
      <w:pPr>
        <w:ind w:left="-5"/>
        <w:rPr>
          <w:lang w:val="en-US"/>
        </w:rPr>
      </w:pPr>
      <w:bookmarkStart w:id="0" w:name="_GoBack"/>
      <w:bookmarkEnd w:id="0"/>
    </w:p>
    <w:p w:rsidR="00417FE5" w:rsidRPr="00854E9A" w:rsidRDefault="00417FE5" w:rsidP="00854E9A">
      <w:pPr>
        <w:ind w:left="-5"/>
        <w:rPr>
          <w:lang w:val="en-US"/>
        </w:rPr>
      </w:pPr>
    </w:p>
    <w:p w:rsidR="00417FE5" w:rsidRPr="00417FE5" w:rsidRDefault="00417FE5" w:rsidP="00417FE5">
      <w:pPr>
        <w:spacing w:after="48" w:line="265" w:lineRule="auto"/>
        <w:ind w:left="-5"/>
        <w:rPr>
          <w:b/>
          <w:color w:val="FF0000"/>
          <w:sz w:val="28"/>
          <w:szCs w:val="28"/>
        </w:rPr>
      </w:pPr>
      <w:r w:rsidRPr="00417FE5">
        <w:rPr>
          <w:b/>
          <w:color w:val="FF0000"/>
          <w:sz w:val="28"/>
          <w:szCs w:val="28"/>
        </w:rPr>
        <w:t>References</w:t>
      </w:r>
    </w:p>
    <w:p w:rsidR="00417FE5" w:rsidRDefault="00417FE5" w:rsidP="00E82386">
      <w:pPr>
        <w:ind w:left="-5"/>
      </w:pPr>
    </w:p>
    <w:p w:rsidR="00E82386" w:rsidRDefault="00E82386" w:rsidP="00417FE5">
      <w:pPr>
        <w:spacing w:line="360" w:lineRule="auto"/>
        <w:ind w:left="-5"/>
      </w:pPr>
      <w:r>
        <w:t xml:space="preserve">Moor, James. "What Is </w:t>
      </w:r>
      <w:proofErr w:type="gramStart"/>
      <w:r>
        <w:t>information</w:t>
      </w:r>
      <w:proofErr w:type="gramEnd"/>
      <w:r>
        <w:t xml:space="preserve"> Ethics?" </w:t>
      </w:r>
      <w:proofErr w:type="spellStart"/>
      <w:r>
        <w:t>Metaphilosophy</w:t>
      </w:r>
      <w:proofErr w:type="spellEnd"/>
      <w:r>
        <w:t xml:space="preserve"> 16, no. 4 (1985): 266-75. </w:t>
      </w:r>
    </w:p>
    <w:p w:rsidR="00E82386" w:rsidRDefault="00E82386" w:rsidP="00417FE5">
      <w:pPr>
        <w:spacing w:line="360" w:lineRule="auto"/>
        <w:ind w:left="-5"/>
      </w:pPr>
      <w:r w:rsidRPr="00E82386">
        <w:t xml:space="preserve">Warren, M. and Lucas, R. (2016), “Ethics and ICT: why all the fuss?”, Journal of Information, Communication and Ethics in </w:t>
      </w:r>
      <w:proofErr w:type="gramStart"/>
      <w:r>
        <w:t xml:space="preserve">security </w:t>
      </w:r>
      <w:r w:rsidRPr="00E82386">
        <w:t>,</w:t>
      </w:r>
      <w:proofErr w:type="gramEnd"/>
      <w:r w:rsidRPr="00E82386">
        <w:t xml:space="preserve"> Vol. 14 No. 2, pp. 167-169.</w:t>
      </w:r>
    </w:p>
    <w:p w:rsidR="00E82386" w:rsidRDefault="00E82386" w:rsidP="00417FE5">
      <w:pPr>
        <w:spacing w:line="360" w:lineRule="auto"/>
        <w:ind w:left="-5"/>
      </w:pPr>
      <w:r>
        <w:t>Buckland, Michael. "Informati</w:t>
      </w:r>
      <w:r w:rsidR="00417FE5">
        <w:t xml:space="preserve">on </w:t>
      </w:r>
      <w:proofErr w:type="gramStart"/>
      <w:r w:rsidR="00417FE5">
        <w:t>As</w:t>
      </w:r>
      <w:proofErr w:type="gramEnd"/>
      <w:r w:rsidR="00417FE5">
        <w:t xml:space="preserve"> Thing." Journal of the Am</w:t>
      </w:r>
      <w:r>
        <w:t xml:space="preserve">erican Society for Information Science 42, no. 5 (1991): 351-60. </w:t>
      </w:r>
    </w:p>
    <w:p w:rsidR="00E82386" w:rsidRDefault="00E82386" w:rsidP="00417FE5">
      <w:pPr>
        <w:spacing w:line="360" w:lineRule="auto"/>
        <w:ind w:left="-5"/>
      </w:pPr>
      <w:r w:rsidRPr="00E82386">
        <w:t>Weiss, J. (2017), “Ethics and CSR research in top ranked IS journals, 1980-2013: a developing trend or anomaly?”, Proceedings of the 50th Hawaii International Conference on System Sciences, 4-7 January, Hilton Waikoloa Village, HI, 5758-5762.</w:t>
      </w:r>
    </w:p>
    <w:p w:rsidR="00E82386" w:rsidRDefault="00E82386" w:rsidP="00417FE5">
      <w:pPr>
        <w:spacing w:line="360" w:lineRule="auto"/>
        <w:ind w:left="-5"/>
      </w:pPr>
      <w:r>
        <w:t xml:space="preserve">Van den Hoven, </w:t>
      </w:r>
      <w:proofErr w:type="spellStart"/>
      <w:r>
        <w:t>Joroen</w:t>
      </w:r>
      <w:proofErr w:type="spellEnd"/>
      <w:r>
        <w:t xml:space="preserve">. "Equal Access and Social Justice: Information </w:t>
      </w:r>
      <w:proofErr w:type="gramStart"/>
      <w:r>
        <w:t>As</w:t>
      </w:r>
      <w:proofErr w:type="gramEnd"/>
      <w:r>
        <w:t xml:space="preserve"> a Primary Good." </w:t>
      </w:r>
      <w:proofErr w:type="spellStart"/>
      <w:r>
        <w:t>Ethicomp</w:t>
      </w:r>
      <w:proofErr w:type="spellEnd"/>
      <w:r>
        <w:t xml:space="preserve"> 95. Leicester: De </w:t>
      </w:r>
      <w:proofErr w:type="spellStart"/>
      <w:r>
        <w:t>Monfort</w:t>
      </w:r>
      <w:proofErr w:type="spellEnd"/>
      <w:r>
        <w:t xml:space="preserve"> University, 1995. </w:t>
      </w:r>
    </w:p>
    <w:p w:rsidR="00E82386" w:rsidRDefault="00E82386" w:rsidP="00E82386">
      <w:pPr>
        <w:ind w:left="-5"/>
      </w:pPr>
    </w:p>
    <w:p w:rsidR="00E82386" w:rsidRDefault="00E82386" w:rsidP="00E82386">
      <w:pPr>
        <w:ind w:left="-5"/>
      </w:pPr>
    </w:p>
    <w:p w:rsidR="00057E38" w:rsidRDefault="00057E38">
      <w:pPr>
        <w:spacing w:after="0" w:line="259" w:lineRule="auto"/>
        <w:ind w:left="0" w:firstLine="0"/>
      </w:pPr>
    </w:p>
    <w:sectPr w:rsidR="00057E38" w:rsidSect="00A653C5">
      <w:footerReference w:type="even" r:id="rId8"/>
      <w:footerReference w:type="default" r:id="rId9"/>
      <w:footerReference w:type="first" r:id="rId10"/>
      <w:pgSz w:w="12240" w:h="15840"/>
      <w:pgMar w:top="1471" w:right="1800" w:bottom="1529" w:left="1800" w:header="720" w:footer="719" w:gutter="0"/>
      <w:pgNumType w:start="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7570" w:rsidRDefault="00DA7570">
      <w:pPr>
        <w:spacing w:after="0" w:line="240" w:lineRule="auto"/>
      </w:pPr>
      <w:r>
        <w:separator/>
      </w:r>
    </w:p>
  </w:endnote>
  <w:endnote w:type="continuationSeparator" w:id="0">
    <w:p w:rsidR="00DA7570" w:rsidRDefault="00DA75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7E38" w:rsidRDefault="006F4884">
    <w:pPr>
      <w:tabs>
        <w:tab w:val="center" w:pos="4319"/>
      </w:tabs>
      <w:spacing w:after="0" w:line="259" w:lineRule="auto"/>
      <w:ind w:left="0" w:firstLine="0"/>
    </w:pPr>
    <w:r>
      <w:rPr>
        <w:rFonts w:ascii="Cambria" w:eastAsia="Cambria" w:hAnsi="Cambria" w:cs="Cambria"/>
      </w:rPr>
      <w:t xml:space="preserve"> </w:t>
    </w:r>
    <w:r>
      <w:rPr>
        <w:rFonts w:ascii="Cambria" w:eastAsia="Cambria" w:hAnsi="Cambria" w:cs="Cambria"/>
      </w:rPr>
      <w:tab/>
    </w:r>
    <w:r>
      <w:fldChar w:fldCharType="begin"/>
    </w:r>
    <w:r>
      <w:instrText xml:space="preserve"> PAGE   \* MERGEFORMAT </w:instrText>
    </w:r>
    <w:r>
      <w:fldChar w:fldCharType="separate"/>
    </w:r>
    <w:r>
      <w:rPr>
        <w:rFonts w:ascii="Cambria" w:eastAsia="Cambria" w:hAnsi="Cambria" w:cs="Cambria"/>
      </w:rPr>
      <w:t>1</w:t>
    </w:r>
    <w:r>
      <w:rPr>
        <w:rFonts w:ascii="Cambria" w:eastAsia="Cambria" w:hAnsi="Cambria" w:cs="Cambria"/>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7E38" w:rsidRDefault="006F4884">
    <w:pPr>
      <w:tabs>
        <w:tab w:val="center" w:pos="4319"/>
      </w:tabs>
      <w:spacing w:after="0" w:line="259" w:lineRule="auto"/>
      <w:ind w:left="0" w:firstLine="0"/>
    </w:pPr>
    <w:r>
      <w:rPr>
        <w:rFonts w:ascii="Cambria" w:eastAsia="Cambria" w:hAnsi="Cambria" w:cs="Cambria"/>
      </w:rPr>
      <w:t xml:space="preserve"> </w:t>
    </w:r>
    <w:r>
      <w:rPr>
        <w:rFonts w:ascii="Cambria" w:eastAsia="Cambria" w:hAnsi="Cambria" w:cs="Cambria"/>
      </w:rPr>
      <w:tab/>
    </w:r>
    <w:r>
      <w:fldChar w:fldCharType="begin"/>
    </w:r>
    <w:r>
      <w:instrText xml:space="preserve"> PAGE   \* MERGEFORMAT </w:instrText>
    </w:r>
    <w:r>
      <w:fldChar w:fldCharType="separate"/>
    </w:r>
    <w:r w:rsidR="00485A03" w:rsidRPr="00485A03">
      <w:rPr>
        <w:rFonts w:ascii="Cambria" w:eastAsia="Cambria" w:hAnsi="Cambria" w:cs="Cambria"/>
        <w:noProof/>
      </w:rPr>
      <w:t>9</w:t>
    </w:r>
    <w:r>
      <w:rPr>
        <w:rFonts w:ascii="Cambria" w:eastAsia="Cambria" w:hAnsi="Cambria" w:cs="Cambria"/>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7E38" w:rsidRDefault="006F4884">
    <w:pPr>
      <w:tabs>
        <w:tab w:val="center" w:pos="4319"/>
      </w:tabs>
      <w:spacing w:after="0" w:line="259" w:lineRule="auto"/>
      <w:ind w:left="0" w:firstLine="0"/>
    </w:pPr>
    <w:r>
      <w:rPr>
        <w:rFonts w:ascii="Cambria" w:eastAsia="Cambria" w:hAnsi="Cambria" w:cs="Cambria"/>
      </w:rPr>
      <w:t xml:space="preserve"> </w:t>
    </w:r>
    <w:r>
      <w:rPr>
        <w:rFonts w:ascii="Cambria" w:eastAsia="Cambria" w:hAnsi="Cambria" w:cs="Cambria"/>
      </w:rPr>
      <w:tab/>
    </w:r>
    <w:r>
      <w:fldChar w:fldCharType="begin"/>
    </w:r>
    <w:r>
      <w:instrText xml:space="preserve"> PAGE   \* MERGEFORMAT </w:instrText>
    </w:r>
    <w:r>
      <w:fldChar w:fldCharType="separate"/>
    </w:r>
    <w:r w:rsidR="00485A03" w:rsidRPr="00485A03">
      <w:rPr>
        <w:rFonts w:ascii="Cambria" w:eastAsia="Cambria" w:hAnsi="Cambria" w:cs="Cambria"/>
        <w:noProof/>
      </w:rPr>
      <w:t>0</w:t>
    </w:r>
    <w:r>
      <w:rPr>
        <w:rFonts w:ascii="Cambria" w:eastAsia="Cambria" w:hAnsi="Cambria" w:cs="Cambria"/>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7570" w:rsidRDefault="00DA7570">
      <w:pPr>
        <w:spacing w:after="0" w:line="240" w:lineRule="auto"/>
      </w:pPr>
      <w:r>
        <w:separator/>
      </w:r>
    </w:p>
  </w:footnote>
  <w:footnote w:type="continuationSeparator" w:id="0">
    <w:p w:rsidR="00DA7570" w:rsidRDefault="00DA757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E38"/>
    <w:rsid w:val="00057E38"/>
    <w:rsid w:val="002E10FA"/>
    <w:rsid w:val="00417FE5"/>
    <w:rsid w:val="00485A03"/>
    <w:rsid w:val="006F4884"/>
    <w:rsid w:val="00854E9A"/>
    <w:rsid w:val="008A36D4"/>
    <w:rsid w:val="00927878"/>
    <w:rsid w:val="00A653C5"/>
    <w:rsid w:val="00D914FD"/>
    <w:rsid w:val="00DA7570"/>
    <w:rsid w:val="00E82386"/>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D3AC3"/>
  <w15:docId w15:val="{D6C8072E-9B74-4363-B9C2-B20F03007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311" w:line="248" w:lineRule="auto"/>
      <w:ind w:left="11" w:hanging="10"/>
    </w:pPr>
    <w:rPr>
      <w:rFonts w:ascii="Times New Roman" w:eastAsia="Times New Roman" w:hAnsi="Times New Roman" w:cs="Times New Roman"/>
      <w:color w:val="000000"/>
      <w:sz w:val="24"/>
    </w:rPr>
  </w:style>
  <w:style w:type="paragraph" w:styleId="1">
    <w:name w:val="heading 1"/>
    <w:next w:val="a"/>
    <w:link w:val="1Char"/>
    <w:uiPriority w:val="9"/>
    <w:unhideWhenUsed/>
    <w:qFormat/>
    <w:pPr>
      <w:keepNext/>
      <w:keepLines/>
      <w:spacing w:after="390" w:line="265" w:lineRule="auto"/>
      <w:ind w:left="10"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link w:val="1"/>
    <w:rPr>
      <w:rFonts w:ascii="Times New Roman" w:eastAsia="Times New Roman" w:hAnsi="Times New Roman" w:cs="Times New Roman"/>
      <w:b/>
      <w:color w:val="000000"/>
      <w:sz w:val="24"/>
    </w:rPr>
  </w:style>
  <w:style w:type="paragraph" w:styleId="a3">
    <w:name w:val="No Spacing"/>
    <w:link w:val="Char"/>
    <w:uiPriority w:val="1"/>
    <w:qFormat/>
    <w:rsid w:val="00A653C5"/>
    <w:pPr>
      <w:bidi/>
      <w:spacing w:after="0" w:line="240" w:lineRule="auto"/>
    </w:pPr>
  </w:style>
  <w:style w:type="character" w:customStyle="1" w:styleId="Char">
    <w:name w:val="بلا تباعد Char"/>
    <w:basedOn w:val="a0"/>
    <w:link w:val="a3"/>
    <w:uiPriority w:val="1"/>
    <w:rsid w:val="00A653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F06365-09D6-4ED3-93D2-1EB75E68F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10</Pages>
  <Words>3057</Words>
  <Characters>17428</Characters>
  <Application>Microsoft Office Word</Application>
  <DocSecurity>0</DocSecurity>
  <Lines>145</Lines>
  <Paragraphs>40</Paragraphs>
  <ScaleCrop>false</ScaleCrop>
  <HeadingPairs>
    <vt:vector size="2" baseType="variant">
      <vt:variant>
        <vt:lpstr>العنوان</vt:lpstr>
      </vt:variant>
      <vt:variant>
        <vt:i4>1</vt:i4>
      </vt:variant>
    </vt:vector>
  </HeadingPairs>
  <TitlesOfParts>
    <vt:vector size="1" baseType="lpstr">
      <vt:lpstr>Ethics in Information security</vt:lpstr>
    </vt:vector>
  </TitlesOfParts>
  <Company>SACC</Company>
  <LinksUpToDate>false</LinksUpToDate>
  <CharactersWithSpaces>20445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Ethics in Information security</dc:title>
  <dc:subject/>
  <dc:creator>Maher</dc:creator>
  <cp:keywords/>
  <cp:lastModifiedBy>Maher</cp:lastModifiedBy>
  <cp:revision>4</cp:revision>
  <dcterms:created xsi:type="dcterms:W3CDTF">2022-06-02T10:04:00Z</dcterms:created>
  <dcterms:modified xsi:type="dcterms:W3CDTF">2022-06-02T10:31:00Z</dcterms:modified>
</cp:coreProperties>
</file>